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ANEXO 1B - MINUTA DE PROPOSTA COMERCIAL</w:t>
      </w:r>
    </w:p>
    <w:p>
      <w:pPr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rPr>
          <w:rFonts w:ascii="Times New Roman" w:hAnsi="Times New Roman" w:cs="Times New Roman" w:eastAsiaTheme="minorEastAsia"/>
          <w:b/>
          <w:sz w:val="20"/>
          <w:szCs w:val="20"/>
          <w:highlight w:val="none"/>
          <w:lang w:val="pt-BR" w:eastAsia="pt-BR" w:bidi="ar-SA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PROCESSO N. </w:t>
      </w:r>
      <w:r>
        <w:rPr>
          <w:rFonts w:hint="default" w:cs="Times New Roman"/>
          <w:b/>
          <w:sz w:val="20"/>
          <w:szCs w:val="20"/>
          <w:lang w:val="pt-BR"/>
        </w:rPr>
        <w:t>22</w:t>
      </w:r>
      <w:r>
        <w:rPr>
          <w:rFonts w:ascii="Times New Roman" w:hAnsi="Times New Roman" w:cs="Times New Roman"/>
          <w:b/>
          <w:sz w:val="20"/>
          <w:szCs w:val="20"/>
          <w:lang w:val="pt-BR"/>
        </w:rPr>
        <w:t>/2023</w:t>
      </w:r>
    </w:p>
    <w:p>
      <w:pPr>
        <w:rPr>
          <w:rFonts w:ascii="Times New Roman" w:hAnsi="Times New Roman" w:cs="Times New Roman"/>
          <w:b/>
          <w:sz w:val="20"/>
          <w:szCs w:val="20"/>
          <w:highlight w:val="none"/>
          <w:lang w:val="pt-BR"/>
        </w:rPr>
      </w:pPr>
      <w:r>
        <w:rPr>
          <w:rFonts w:ascii="Times New Roman" w:hAnsi="Times New Roman" w:cs="Times New Roman"/>
          <w:b/>
          <w:sz w:val="20"/>
          <w:szCs w:val="20"/>
        </w:rPr>
        <w:t>PREGÃO N.</w:t>
      </w:r>
      <w:r>
        <w:rPr>
          <w:rFonts w:ascii="Times New Roman" w:hAnsi="Times New Roman" w:cs="Times New Roman"/>
          <w:b/>
          <w:sz w:val="20"/>
          <w:szCs w:val="20"/>
          <w:lang w:val="pt-BR"/>
        </w:rPr>
        <w:t>0</w:t>
      </w:r>
      <w:r>
        <w:rPr>
          <w:rFonts w:hint="default" w:cs="Times New Roman"/>
          <w:b/>
          <w:sz w:val="20"/>
          <w:szCs w:val="20"/>
          <w:lang w:val="pt-BR"/>
        </w:rPr>
        <w:t>9</w:t>
      </w:r>
      <w:r>
        <w:rPr>
          <w:rFonts w:ascii="Times New Roman" w:hAnsi="Times New Roman" w:cs="Times New Roman"/>
          <w:b/>
          <w:sz w:val="20"/>
          <w:szCs w:val="20"/>
          <w:lang w:val="pt-BR"/>
        </w:rPr>
        <w:t>/2023</w:t>
      </w:r>
    </w:p>
    <w:p>
      <w:pPr>
        <w:rPr>
          <w:rFonts w:ascii="Times New Roman" w:hAnsi="Times New Roman" w:cs="Times New Roman"/>
          <w:b/>
          <w:sz w:val="20"/>
          <w:szCs w:val="20"/>
          <w:highlight w:val="none"/>
          <w:lang w:val="pt-BR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REGISTRO DE PREÇOS: </w:t>
      </w:r>
      <w:r>
        <w:rPr>
          <w:rFonts w:ascii="Times New Roman" w:hAnsi="Times New Roman" w:cs="Times New Roman"/>
          <w:b/>
          <w:sz w:val="20"/>
          <w:szCs w:val="20"/>
          <w:lang w:val="pt-BR"/>
        </w:rPr>
        <w:t>0</w:t>
      </w:r>
      <w:r>
        <w:rPr>
          <w:rFonts w:hint="default" w:cs="Times New Roman"/>
          <w:b/>
          <w:sz w:val="20"/>
          <w:szCs w:val="20"/>
          <w:lang w:val="pt-BR"/>
        </w:rPr>
        <w:t>9</w:t>
      </w:r>
      <w:r>
        <w:rPr>
          <w:rFonts w:ascii="Times New Roman" w:hAnsi="Times New Roman" w:cs="Times New Roman"/>
          <w:b/>
          <w:sz w:val="20"/>
          <w:szCs w:val="20"/>
          <w:lang w:val="pt-BR"/>
        </w:rPr>
        <w:t>/2023</w:t>
      </w:r>
    </w:p>
    <w:p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Objeto: </w:t>
      </w:r>
      <w:r>
        <w:rPr>
          <w:rFonts w:ascii="Times New Roman" w:hAnsi="Times New Roman"/>
          <w:b/>
          <w:bCs/>
          <w:sz w:val="20"/>
          <w:szCs w:val="20"/>
          <w:lang w:val="pt-BR"/>
        </w:rPr>
        <w:t>Registro de Preços para futura e eventual aquisição de materiais de expediente, aparelho celular, cadeira de coleta e EPI’s para atender as demandas do CISMIV</w:t>
      </w:r>
      <w:r>
        <w:rPr>
          <w:rFonts w:ascii="Times New Roman" w:hAnsi="Times New Roman"/>
          <w:b/>
          <w:sz w:val="20"/>
          <w:szCs w:val="20"/>
          <w:lang w:val="pt-BR"/>
        </w:rPr>
        <w:t>.</w:t>
      </w:r>
    </w:p>
    <w:p>
      <w:pPr>
        <w:jc w:val="both"/>
        <w:rPr>
          <w:rFonts w:hint="default" w:ascii="Times New Roman" w:hAnsi="Times New Roman" w:cs="Times New Roman"/>
          <w:b/>
        </w:rPr>
      </w:pPr>
    </w:p>
    <w:p>
      <w:pPr>
        <w:jc w:val="both"/>
        <w:rPr>
          <w:rFonts w:hint="default" w:ascii="Times New Roman" w:hAnsi="Times New Roman" w:cs="Times New Roman"/>
          <w:b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>Razão social:</w:t>
      </w:r>
    </w:p>
    <w:p>
      <w:pPr>
        <w:jc w:val="both"/>
        <w:rPr>
          <w:rFonts w:hint="default" w:ascii="Times New Roman" w:hAnsi="Times New Roman" w:cs="Times New Roman"/>
          <w:b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>CNPJ: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ab/>
      </w:r>
    </w:p>
    <w:p>
      <w:pPr>
        <w:jc w:val="both"/>
        <w:rPr>
          <w:rFonts w:hint="default" w:ascii="Times New Roman" w:hAnsi="Times New Roman" w:cs="Times New Roman"/>
          <w:b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>Endereço completo:</w:t>
      </w:r>
    </w:p>
    <w:p>
      <w:pPr>
        <w:jc w:val="both"/>
        <w:rPr>
          <w:rFonts w:hint="default" w:ascii="Times New Roman" w:hAnsi="Times New Roman" w:cs="Times New Roman"/>
          <w:b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>e-mail: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>Telefone/Fax:</w:t>
      </w:r>
    </w:p>
    <w:p>
      <w:pPr>
        <w:jc w:val="both"/>
        <w:rPr>
          <w:rFonts w:hint="default" w:ascii="Times New Roman" w:hAnsi="Times New Roman" w:cs="Times New Roman"/>
          <w:b/>
          <w:b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</w:rPr>
        <w:t xml:space="preserve">Dados bancários/PIX: </w:t>
      </w:r>
    </w:p>
    <w:p>
      <w:pPr>
        <w:autoSpaceDE w:val="0"/>
        <w:autoSpaceDN w:val="0"/>
        <w:adjustRightInd w:val="0"/>
        <w:jc w:val="both"/>
        <w:rPr>
          <w:rFonts w:ascii="Century Gothic" w:hAnsi="Century Gothic" w:cs="Arial" w:eastAsiaTheme="minorHAnsi"/>
          <w:szCs w:val="20"/>
          <w:lang w:eastAsia="en-US"/>
        </w:rPr>
      </w:pPr>
    </w:p>
    <w:tbl>
      <w:tblPr>
        <w:tblStyle w:val="11"/>
        <w:tblpPr w:leftFromText="180" w:rightFromText="180" w:vertAnchor="text" w:horzAnchor="page" w:tblpXSpec="center" w:tblpY="441"/>
        <w:tblOverlap w:val="never"/>
        <w:tblW w:w="1040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4551"/>
        <w:gridCol w:w="1161"/>
        <w:gridCol w:w="1116"/>
        <w:gridCol w:w="672"/>
        <w:gridCol w:w="960"/>
        <w:gridCol w:w="11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6"/>
              <w:widowControl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sz w:val="18"/>
                <w:szCs w:val="18"/>
              </w:rPr>
              <w:t>ITEM</w:t>
            </w:r>
          </w:p>
          <w:p>
            <w:pPr>
              <w:pStyle w:val="106"/>
              <w:widowControl w:val="0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6"/>
              <w:widowControl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sz w:val="18"/>
                <w:szCs w:val="18"/>
              </w:rPr>
              <w:t>ESPECIFICAÇÃO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6"/>
              <w:widowControl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18"/>
                <w:szCs w:val="18"/>
                <w:lang w:val="pt-BR"/>
              </w:rPr>
              <w:t>MARCA  / MODELO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6"/>
              <w:widowControl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sz w:val="18"/>
                <w:szCs w:val="18"/>
              </w:rPr>
              <w:t>UNIDADE DE MEDIDA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6"/>
              <w:widowControl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sz w:val="18"/>
                <w:szCs w:val="18"/>
              </w:rPr>
              <w:t>QTD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6"/>
              <w:widowControl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sz w:val="18"/>
                <w:szCs w:val="18"/>
              </w:rPr>
              <w:t>VALOR UNIT</w:t>
            </w: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sz w:val="18"/>
                <w:szCs w:val="18"/>
                <w:lang w:val="pt-BR"/>
              </w:rPr>
              <w:t>.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6"/>
              <w:widowControl w:val="0"/>
              <w:jc w:val="center"/>
              <w:rPr>
                <w:rFonts w:hint="default" w:ascii="Times New Roman" w:hAnsi="Times New Roman" w:cs="Times New Roman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auto"/>
                <w:sz w:val="18"/>
                <w:szCs w:val="18"/>
              </w:rPr>
              <w:t>VALOR TOTAL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Papel para impressão formatado, tipo: sulfite, apergaminhado, ofício, tamanho (c x l): 297 x 210 mm, gramatura: 75 g,m2, cor: branco, característica adicional: embalagem resistente a unidade.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u w:val="single"/>
              </w:rPr>
              <w:t>Informação adicional: EMB de 500 folhas.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6"/>
              <w:widowControl w:val="0"/>
              <w:spacing w:before="120" w:after="288" w:line="312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EMB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Grampeador, material: metal, tipo: mesa, capacidade: até 100 fl, tamanho grampo: 23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/13.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Style w:val="107"/>
                <w:rFonts w:hint="default" w:ascii="Times New Roman" w:hAnsi="Times New Roman" w:cs="Times New Roman"/>
                <w:b w:val="0"/>
                <w:bCs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 xml:space="preserve">Grampo grampeador, material: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>metal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>, tratamento superficial: galvanizado, tamanho: 23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>/13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>, uso: grampeador de mesa. Caixa com 1.000 unidade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CAIXA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 xml:space="preserve">Grampo grampeador, material: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>metal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>, tratamento superficial: galvanizado, tamanho: 2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>6/6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>, uso: grampeador de mesa. Caixa com 1.000 unidade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CAIXA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Pincel marcador permanente cd, material: plástico, tipo ponta: poliéster, cor tinta: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verde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, características adicionais: ponta máximo de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1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mm.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Style w:val="107"/>
                <w:rFonts w:hint="default" w:ascii="Times New Roman" w:hAnsi="Times New Roman" w:cs="Times New Roman"/>
                <w:b w:val="0"/>
                <w:bCs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Pincel marcador permanente cd, material: plástico, tipo ponta: poliéster, cor tinta: preta, características adicionais: ponta máximo de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1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mm.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u w:val="single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Pincel marcador permanente cd, material: plástico, tipo ponta: poliéster, cor tinta: azul, características adicionais: ponta máximo de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1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mm.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Caneta esferográfica, material: plástico, material ponta: latão com esfera de tungstênio, tipo escrita: fina, cor tinta: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azul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, características adicionais: material transparente e com orifício lateral.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Caixa com 50 UN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CAIXA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Caneta esferográfica, material: plástico, material ponta: latão com esfera de tungstênio, tipo escrita: fina, cor tinta: preta, características adicionais: material transparente e com orifício lateral.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Caixa com 50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CAIXA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Caneta esferográfica, material: plástico, material ponta: latão com esfera de tungstênio, tipo escrita: fina, cor tinta: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vermelha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, características adicionais: material transparente e com orifício lateral.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Caixa com 50 UN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CAIXA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Caneta marca-texto, material: plástico reciclado, tipo ponta: facetada, cor: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amarela, verde, laranja e rosa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fluorescente, tipo: não recarregável, características adicionais: traço 1 a 4 mm e base d'água.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Caixa com 12 unidades.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CAIXA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Clipe, tamanho: 4,0, material: metal, formato: paralelo.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u w:val="single"/>
              </w:rPr>
              <w:t>Informação adicional: Cx com 50 uni.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CX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Clipe, tratamento superficial: galvanizado, tamanho: 8,0, material: arame de aço, formato: paralelo.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u w:val="single"/>
              </w:rPr>
              <w:t>Informação adicional: Cx com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u w:val="single"/>
                <w:lang w:val="pt-BR"/>
              </w:rPr>
              <w:t xml:space="preserve"> 50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u w:val="single"/>
              </w:rPr>
              <w:t>un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CX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Borracha apagadora escrita, material: borracha, comprimento: 40 mm, largura: 30 mm, cor: branca, tipo: macia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Pasta arquivo, material: cartão kraft, tipo: suspensa, largura: 360 mm, altura: 240 mm, cor: parda, características adicionais: hastes e ponteiras plásticas,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Pasta arquivo, material: cartolina plastificada, tipo: classificadora, largura: 2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0 mm, altura: 350 mm, características adicionais: prendedor interno plástico. Informações adicionais: Cor cinza.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Pasta arquivo, material: polipropileno, tipo: abas e elástico, cor: variada, gramatura: 180 g,m2, tamanho: ofício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Pasta arquivo, material: cartolina plastificada, tipo: simples, sem abas, largura: 230 mm, altura: 350 mm, cor: variada, prendedor interno: presílha plástica com 2 furos, gramatura: 290 g,m2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0" w:lef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Pasta arquivo morto, formato caixa cor azul, dobrável, </w:t>
            </w:r>
            <w:r>
              <w:rPr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Arquivo morto</w:t>
            </w:r>
            <w:r>
              <w:rPr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Cor: Azul</w:t>
            </w:r>
            <w:r>
              <w:rPr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Material:</w:t>
            </w:r>
            <w:r>
              <w:rPr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Poli</w:t>
            </w:r>
            <w:r>
              <w:rPr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onda </w:t>
            </w:r>
            <w:r>
              <w:rPr>
                <w:rFonts w:hint="default" w:ascii="Times New Roman" w:hAnsi="Times New Roman" w:eastAsia="Segoe UI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 xml:space="preserve">Dimensão: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9F9F9"/>
              </w:rPr>
              <w:t>35 x 24 x 13,5cm;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Tesoura, material: aço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inoxidável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, material cabo: polipropileno, comprimento: 21 cm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Pilha, tamanho: pequena, tipo: alcalina, modelo: aaa.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u w:val="single"/>
              </w:rPr>
              <w:t>Informação adicional: EMB com 2 uni.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EMB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Adaptador, tipo pino: redondo, quantidade pinos: 3un, tensão nominal: 250 v, tipo: 3 saídas para plug com 3 pino, conexão: tipo t, modelo: benjamim, corrente nominal: 10 a, aplicação: multiplicador de tomadas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Bloco recado, auto-adesivo, removível, post-it, quantidade folhas: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5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0 un.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Material: Papel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Cor: Variada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Largura: 38 MM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Comprimento: 50 MM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Características Adicionais: 4 Cores Neon, Removível/Reposicionável Quantidade Folhas: 50 UN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Fita adesiva, material: crepe, tipo: monoface, largura: 24 mm, comprimento: 50 m, cor: transparente, aplicação: multiuso.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Elástico,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Cinta elástica, material: látex, forma: circular, tamanho: 18, cor: amarela.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u w:val="single"/>
              </w:rPr>
              <w:t xml:space="preserve">Informação adicional: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u w:val="single"/>
                <w:lang w:val="pt-BR"/>
              </w:rPr>
              <w:t>EMB 500g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EMB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Regua de tomada 10 amperes: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6 Tomadas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Aplicação: Uso doméstico e Residencial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.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Comprimento 30cm x Altura 4,5cm x Lagura 4,5cm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Botão de Liga/Desliga.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 xml:space="preserve">2 Furos na Parte de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>trás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 xml:space="preserve"> do Filtro de Linha para prender na parede ou móvel através de parafusos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.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BIVOLT: 110/220VComposição: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Condutor: Cobre Nu/PVC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Tomada: Injetada em polipropileno com terminais em latão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Plugue: Injetado em PVC com terminais em latão - Plug com Padrão Novo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Cabo Espessura: 3x0,75mm2 - 2P + TComprimento do Cabo: 1 metro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Certificação NBR NM 247-5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Marcador Retroprojetor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kern w:val="0"/>
                <w:sz w:val="18"/>
                <w:szCs w:val="18"/>
                <w:highlight w:val="none"/>
                <w:lang w:val="pt-BR" w:eastAsia="zh-CN" w:bidi="a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Material Corpo: Plástico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Material Ponta: Poliéster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Espessura Ponta: 2 MM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Cor Tinta: Preta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Base Tinta: Álcool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 xml:space="preserve">Lápis preto, material corpo: madeira, dureza carga: 5b, formato corpo: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>hexagonal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>, características adicionais: sem borracha apagadora, material carga: grafite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>. CAIXA c/72 uni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CAIXA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 xml:space="preserve">Tinta para carimbo, cor: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>azul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>, componentes: base óleo, aspecto físico: líquido, aplicação: almofada, capacidade frasco: 42 ml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>Fita adesiva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 xml:space="preserve"> - Durex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 xml:space="preserve"> embalagem, material: polipropileno, comprimento: 50 m, largura: 50 mm, aplicação: empacotamento em geral, características adicionais: transparente.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hd w:val="clear" w:color="auto" w:fill="FFFFFF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>Fita adesiva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 xml:space="preserve"> - Durex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 xml:space="preserve"> material: polipropileno, tipo: monoface, largura: 12 mm, comprimento: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>5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 xml:space="preserve">0 m, cor: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>transparente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>, aplicação: multiuso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hd w:val="clear" w:color="auto" w:fill="FFFFFF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</w:rPr>
              <w:t>Caderno, material: papel reciclado, material capa: papelão duro, quantidade folhas: 96 fl, comprimento: 275 mm, largura: 200 mm, características adicionais: espiral plastica branca,1 materia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hd w:val="clear" w:color="auto" w:fill="FFFFFF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 xml:space="preserve">Celular: Cor preto,  armazenamento 64g, memoria Ram 3gb, tamanho da tela 6,5, resolução da tela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HD+ (720x1600)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, tecnologia 4g,conectividade wi-fi e bluetooth, GPS, sisitema operacional android 12.0, Dual Chip,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Carregador, Cabo USB, Extrator de Chip e manual do usuário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>. 12 meses de garantia.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3"/>
              <w:bidi w:val="0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Molha-Dedos Material Base: Plástico , Material Tampa: Plástico , Material Carga: Creme Atóxico , Validade Carga: 1 Ano , Características Adicionais: Não Contém Glicerina E Não Mancha , Composição: Ácido Graxo, Glicóies E Essências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3"/>
              <w:bidi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Mouse para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Computador Tamanho: Padrão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mínimo 10cm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 , Sensor: Laser , Tipo Conector: Usb , Conectividade: Com Fio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3"/>
              <w:bidi w:val="0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Teclado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para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 Microcomputador Tipo: Padrão , Tipo Conector: Usb , Conectividade: Com Fio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Possui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r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 107 teclas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,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teclado padrão abnt2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Comprimento do cabo: 1, 50m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Compatível com </w:t>
            </w:r>
            <w:r>
              <w:rPr>
                <w:rFonts w:hint="default" w:ascii="Times New Roman" w:hAnsi="Times New Roman" w:cs="Times New Roman"/>
                <w:b w:val="0"/>
                <w:bCs/>
                <w:sz w:val="18"/>
                <w:szCs w:val="18"/>
                <w:highlight w:val="none"/>
                <w:lang w:val="pt-BR"/>
              </w:rPr>
              <w:t>windows 7, 10 e 11.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3"/>
              <w:bidi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Apontador Lápis Material: Metal E Plástico , Tipo: Escolar , Tamanho: Médio , Quantidade Furos: 1 , Características Adicionais: Com Depósito, Lâmina Aço Inoxidável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3"/>
              <w:bidi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Estilete Tipo: Lâmina Retrátil , Espessura: 18 MM, Material Corpo: Plástico , Características Adicionais: 1 Trava Automática E 1 Trava Manual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3"/>
              <w:bidi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Pen drive: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Memória Em Cartão Magnético Capacidade Memória: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64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 GB, Tipo Cartao: Pen Drive , Uso: Compatível: Windows 98,2000,Me,Xp,Vista,Sevem, Lin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3"/>
              <w:bidi w:val="0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Estojo para carimbo: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Caixa: Metal , Material Almofada: Esponja Absorvente , Comprimento: 110 MM, Largura: 70 M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3"/>
              <w:bidi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Carimbo personalizado de acordo com o solicitado pelo Cismiv,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Material Corpo: Plástico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Material Cabo: Plástico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Material Base: Plástico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Comprimento: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6,5 CM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 xml:space="preserve">Largura: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5 CM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Tipo: Automático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Características Adicionais 1: Modelo 4912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 xml:space="preserve"> 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Pasta Arquivo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kern w:val="0"/>
                <w:sz w:val="18"/>
                <w:szCs w:val="18"/>
                <w:highlight w:val="none"/>
                <w:lang w:val="pt-BR" w:eastAsia="zh-CN" w:bidi="a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Material: Plástico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Tipo: L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 xml:space="preserve">Largura: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245 MM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Altura: 335 MM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Cor: Incolor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bookmarkStart w:id="0" w:name="_GoBack" w:colFirst="1" w:colLast="1"/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hd w:val="clear" w:color="auto" w:fill="FFFFFF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 xml:space="preserve">Cadeira de coleta: Aplicação: Para Coleta De Sangue, Material: Metal , Acabamento Da Estrutura: Pintura Eletrostática, Tipo De Assento: Assento Fixo , Acabamento Do Assento: Estofado, Revestido Em Courvim , Tipo De Pés: Pés Fixos , Capacidade: Até 150 Kg, Características Adicionais: Braço Frontal Móvel.  Garantia 12 meses. </w:t>
            </w:r>
            <w:r>
              <w:rPr>
                <w:rFonts w:hint="default" w:ascii="Times New Roman" w:hAnsi="Times New Roman" w:cs="Times New Roman"/>
                <w:b w:val="0"/>
                <w:bCs/>
                <w:sz w:val="18"/>
                <w:szCs w:val="18"/>
                <w:highlight w:val="none"/>
                <w:lang w:val="pt-BR"/>
              </w:rPr>
              <w:t>Imagem ilustrativa anexo II.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hd w:val="clear" w:color="auto" w:fill="FFFFFF"/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 xml:space="preserve">Garrafa térmica Inóx,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Inquebrável parte interior e exterior em Aço Inoxidável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Bomba Automática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Dimensões: 15cm Diâmetro x 33cm de Altura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 capacidade: 2,2 L cor: inox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 xml:space="preserve">Quadro Branco Material: Fórmica Branca , Acabamento Superficial Moldura: Alumínio , Cor Moldura: Natural , Finalidade: Lançamento Informações , Largura: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>90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>CM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 xml:space="preserve">, Comprimento: 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>120 CM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, Características Adicionais: Calha Pincel/Apagador , Tipo Fixação: Parede , Material Moldura: Alumínio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. </w:t>
            </w:r>
            <w:r>
              <w:rPr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vertAlign w:val="baseline"/>
              </w:rPr>
              <w:t>Acompanham acessórios para instalação</w:t>
            </w:r>
            <w:r>
              <w:rPr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vertAlign w:val="baseline"/>
                <w:lang w:val="pt-BR"/>
              </w:rPr>
              <w:t>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pt-BR" w:eastAsia="zh-CN" w:bidi="ar"/>
              </w:rPr>
              <w:t>6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Bota segurança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Material PDC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Material Sola: Borracha Antiderrapante , Cor: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branca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, Tipo Cano: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médio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, Tipo Uso: Serviços Gerais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 xml:space="preserve">Bota, classificação II, impermeável,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 w:eastAsia="zh-CN"/>
              </w:rPr>
              <w:t>c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onfeccionada em material polimérico (PVC), com forração interna.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Cor Branca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Tamanho: 34 a 4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4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Com certificado de aprovação C.A. Imagem ilustrativa anexo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ll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Par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pt-BR" w:eastAsia="zh-CN" w:bidi="ar"/>
              </w:rPr>
              <w:t>7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Luva segurança, material: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neoprene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, tamanho: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P,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palma antiderrapante, cor: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azul ou amarelo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Luva De Proteção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individual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Tipo Punho: Longo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Acabamento Palma: Antiderrapante,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Tipo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d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e Uso Reutilizável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impermeável e resistente. Manuseio de diferentes materiais. Com certificado de aprovação  C.A. Imagem ilustrativa anexo II.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</w:rPr>
              <w:t>PAR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pt-BR" w:eastAsia="zh-CN" w:bidi="ar"/>
              </w:rPr>
              <w:t>8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Luva segurança, material: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neoprene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, tamanho: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M,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palma antiderrapante, cor: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azul ou amarelo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Luva De Proteção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individual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Tipo Punho: Longo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Acabamento Palma: Antiderrapante,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Tipo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d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e Uso Reutilizável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impermeável e resistente. Manuseio de diferentes materiais. Com certificado de aprovação  C.A Imagem ilustrativa anexo II.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PAR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pt-BR" w:eastAsia="zh-CN" w:bidi="ar"/>
              </w:rPr>
              <w:t>49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Luva segurança, material: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neoprene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, tamanho: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G,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 xml:space="preserve"> palma antiderrapante, cor: 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azul ou amarelo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Luva De Proteção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individual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Tipo Punho: Longo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Acabamento Palma: Antiderrapante,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Tipo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d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e Uso Reutilizável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impermeável e resistente. Manuseio de diferentes materiais. Com certificado de aprovação C.A. Imagem ilustrativa anexo II.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PAR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pt-BR" w:eastAsia="zh-CN" w:bidi="ar"/>
              </w:rPr>
              <w:t>0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Oculos 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de segurança modelo ampla visão constituído de armação confeccionada em uma única peça de PVC flexível transparente com sistema de ventilação indireta composto por quatro válvulas, sendo duas na parte superior e duas na parte inferior da armação, visor de policarbonato incolor, tirante elástico para ajuste.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 xml:space="preserve"> Com certificado de aprovação C.A. Imagem ilustrativa anexo II.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pt-BR" w:eastAsia="zh-CN" w:bidi="ar"/>
              </w:rPr>
              <w:t>1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hd w:val="clear" w:color="auto" w:fill="FFFFFF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shd w:val="clear" w:color="auto" w:fill="FFFFFF"/>
                <w:lang w:val="pt-BR"/>
              </w:rPr>
              <w:t xml:space="preserve">Dispenser para copo descartável, para copo de 200ml, tipo: poupa copo, com alavanca. Material: plástico.  </w:t>
            </w:r>
            <w:r>
              <w:rPr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 xml:space="preserve">Dispenser unicopo para copos de água 200mL. Injetado em plástico ABS e tubo confeccionado em PVC semirrígido. </w:t>
            </w:r>
            <w:r>
              <w:rPr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>S</w:t>
            </w:r>
            <w:r>
              <w:rPr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sistema que dispensa um copo por vez</w:t>
            </w:r>
            <w:r>
              <w:rPr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. </w:t>
            </w:r>
            <w:r>
              <w:rPr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</w:rPr>
              <w:t>Acompanha kit parafuso e porcas para fixação na parede. Medidas: 676mm (altura) x 140mm (largura) x 180mm (profundidade)</w:t>
            </w:r>
            <w:r>
              <w:rPr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. </w:t>
            </w:r>
            <w:r>
              <w:rPr>
                <w:rFonts w:hint="default" w:ascii="Times New Roman" w:hAnsi="Times New Roman" w:cs="Times New Roman"/>
                <w:b w:val="0"/>
                <w:bCs/>
                <w:sz w:val="18"/>
                <w:szCs w:val="18"/>
                <w:highlight w:val="none"/>
                <w:lang w:val="pt-BR"/>
              </w:rPr>
              <w:t>Imagem ilustrativa anexo II.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pt-BR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"/>
              <w:tabs>
                <w:tab w:val="left" w:pos="1701"/>
              </w:tabs>
              <w:bidi w:val="0"/>
              <w:jc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18"/>
                <w:szCs w:val="18"/>
                <w:highlight w:val="none"/>
                <w:lang w:val="pt-BR" w:eastAsia="zh-CN"/>
              </w:rPr>
              <w:t>52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3"/>
              <w:tabs>
                <w:tab w:val="left" w:pos="1701"/>
              </w:tabs>
              <w:bidi w:val="0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highlight w:val="none"/>
                <w:shd w:val="clear" w:fill="FFFFFF"/>
              </w:rPr>
              <w:t>Pilha Tamanho: Média , Modelo: C , Sistema Eletroquímico: Alcalina , Tensão Nominal: 1,5</w:t>
            </w:r>
            <w:r>
              <w:rPr>
                <w:rFonts w:hint="default" w:ascii="Times New Roman" w:hAnsi="Times New Roman" w:eastAsia="sans-serif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highlight w:val="none"/>
                <w:shd w:val="clear" w:fill="FFFFFF"/>
                <w:lang w:val="pt-BR"/>
              </w:rPr>
              <w:t xml:space="preserve">. Embalagem com 02 un. 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EMB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"/>
              <w:tabs>
                <w:tab w:val="left" w:pos="1701"/>
              </w:tabs>
              <w:bidi w:val="0"/>
              <w:jc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 w:eastAsia="zh-CN"/>
              </w:rPr>
              <w:t>53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3"/>
              <w:tabs>
                <w:tab w:val="left" w:pos="1701"/>
              </w:tabs>
              <w:bidi w:val="0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Bateria Recarregável Aplicação: Equipamentos Eletrônicos , Sistema Eletroquímico: Ni-Mh , Tensão Nominal: 9 V, Capacidade Nominal 1: 450 MA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color w:val="auto"/>
                <w:sz w:val="18"/>
                <w:szCs w:val="18"/>
                <w:lang w:val="pt-BR" w:eastAsia="zh-C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Candara" w:cs="Times New Roman"/>
                <w:b w:val="0"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"/>
              <w:tabs>
                <w:tab w:val="left" w:pos="1701"/>
              </w:tabs>
              <w:bidi w:val="0"/>
              <w:jc w:val="center"/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pt-BR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 w:eastAsia="zh-CN"/>
              </w:rPr>
              <w:t>54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Óculos Proteção Material Armação: Vinil , Tipo Proteção: Totalmente Fechado , Material Proteção: Vinil , Tipo Ajuste Haste: Não Aplicável , Tipo Lente: Resina , Cor Lente: Incolor , Cor Lente Externa: Não Aplicável , Aplicação: Indústria Química/Refinaria E Siderurgia , Características Adicionais: Fixação Por Elástico Regulável E Sobrepor Óculos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. Com certificado de aprovação C.A.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shd w:val="clear" w:color="auto" w:fill="FFFFFF"/>
                <w:lang w:val="pt-BR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lang w:val="pt-B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pt-BR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yellow"/>
                <w:u w:val="none"/>
                <w:lang w:val="pt-BR" w:eastAsia="zh-CN" w:bidi="ar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SimSun" w:cs="Times New Roman"/>
                <w:b w:val="0"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"/>
              <w:tabs>
                <w:tab w:val="left" w:pos="1701"/>
              </w:tabs>
              <w:bidi w:val="0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 w:eastAsia="zh-CN"/>
              </w:rPr>
              <w:t>55</w:t>
            </w:r>
          </w:p>
        </w:tc>
        <w:tc>
          <w:tcPr>
            <w:tcW w:w="4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 w:eastAsia="pt-BR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Máscara Proteção Resp. C/ Anvisa Modelo: Respirador Dobrável, Tipo Bico De Pato , Material: Camadas Fibras Sintéticas , Filtro: Eficiência Filtração Mín. 94% S , Classe: Pff2, N95 Ou Equivalente , Adicional: Carvão Ativado , Componente: Clipe Nasal , Tipo Fixação: Tiras Vedação Anatômica , Adicional 2: C/ Válvula , Cor: C/ Cor , Tamanho: Adulto , Esterilidade: Descartável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pt-BR"/>
              </w:rPr>
              <w:t>. Com certificado de aprovação C.A.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 w:eastAsia="pt-BR" w:bidi="ar-SA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uppressAutoHyphens/>
              <w:spacing w:after="120" w:line="276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 w:eastAsia="pt-BR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18"/>
                <w:szCs w:val="18"/>
                <w:highlight w:val="none"/>
                <w:lang w:val="pt-BR"/>
              </w:rPr>
              <w:t>UN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lang w:val="pt-BR" w:eastAsia="zh-CN" w:bidi="ar-SA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en-US" w:eastAsia="zh-CN" w:bidi="ar-SA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24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right"/>
              <w:rPr>
                <w:rFonts w:hint="default" w:ascii="Times New Roman" w:hAnsi="Times New Roman" w:eastAsia="Times New Roman" w:cs="Times New Roman"/>
                <w:b w:val="0"/>
                <w:bCs/>
                <w:color w:val="auto"/>
                <w:sz w:val="18"/>
                <w:szCs w:val="18"/>
                <w:highlight w:val="yellow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auto"/>
                <w:sz w:val="18"/>
                <w:szCs w:val="18"/>
                <w:highlight w:val="none"/>
                <w:lang w:val="pt-BR"/>
              </w:rPr>
              <w:t>Total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pt-BR"/>
              </w:rPr>
            </w:pPr>
          </w:p>
        </w:tc>
      </w:tr>
    </w:tbl>
    <w:p>
      <w:pPr>
        <w:jc w:val="both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b/>
          <w:bCs/>
          <w:sz w:val="18"/>
          <w:szCs w:val="18"/>
        </w:rPr>
        <w:t>Valor Total da Proposta:</w:t>
      </w:r>
      <w:r>
        <w:rPr>
          <w:rFonts w:hint="default" w:ascii="Times New Roman" w:hAnsi="Times New Roman" w:cs="Times New Roman"/>
          <w:sz w:val="18"/>
          <w:szCs w:val="18"/>
        </w:rPr>
        <w:t xml:space="preserve"> R$ (extenso)</w:t>
      </w:r>
    </w:p>
    <w:p>
      <w:pPr>
        <w:jc w:val="both"/>
        <w:rPr>
          <w:rFonts w:hint="default" w:ascii="Times New Roman" w:hAnsi="Times New Roman" w:cs="Times New Roman"/>
          <w:sz w:val="21"/>
          <w:szCs w:val="21"/>
        </w:rPr>
      </w:pPr>
    </w:p>
    <w:p>
      <w:pPr>
        <w:jc w:val="both"/>
        <w:rPr>
          <w:rFonts w:hint="default" w:ascii="Times New Roman" w:hAnsi="Times New Roman" w:cs="Times New Roman"/>
          <w:sz w:val="21"/>
          <w:szCs w:val="21"/>
        </w:rPr>
      </w:pPr>
    </w:p>
    <w:p>
      <w:pPr>
        <w:jc w:val="both"/>
        <w:rPr>
          <w:rFonts w:hint="default" w:ascii="Times New Roman" w:hAnsi="Times New Roman" w:cs="Times New Roman"/>
          <w:b/>
          <w:sz w:val="21"/>
          <w:szCs w:val="21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ESTA PROPOSTA TEM VALIDADE DE 60 (SESSENTA) DIAS.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LOCAL E DATA: ______________________________________________________________</w:t>
      </w:r>
    </w:p>
    <w:p>
      <w:pPr>
        <w:pStyle w:val="48"/>
        <w:ind w:firstLine="0"/>
        <w:jc w:val="center"/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pStyle w:val="48"/>
        <w:ind w:firstLine="0"/>
        <w:jc w:val="center"/>
        <w:rPr>
          <w:rFonts w:hint="default" w:ascii="Times New Roman" w:hAnsi="Times New Roman" w:cs="Times New Roman"/>
          <w:b/>
          <w:sz w:val="21"/>
          <w:szCs w:val="21"/>
        </w:rPr>
      </w:pPr>
    </w:p>
    <w:p>
      <w:pPr>
        <w:pStyle w:val="48"/>
        <w:ind w:firstLine="0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_____________________________________________________________</w:t>
      </w:r>
    </w:p>
    <w:p>
      <w:pPr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NOME E ASSINATURA DO REPRESENTANTE </w:t>
      </w:r>
    </w:p>
    <w:p>
      <w:pPr>
        <w:jc w:val="center"/>
        <w:rPr>
          <w:rFonts w:hint="default" w:ascii="Times New Roman" w:hAnsi="Times New Roman" w:cs="Times New Roman"/>
          <w:b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DO LICITANTE</w:t>
      </w:r>
    </w:p>
    <w:sectPr>
      <w:headerReference r:id="rId5" w:type="default"/>
      <w:footerReference r:id="rId6" w:type="default"/>
      <w:pgSz w:w="11907" w:h="16839"/>
      <w:pgMar w:top="1394" w:right="680" w:bottom="992" w:left="1134" w:header="142" w:footer="189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angal">
    <w:altName w:val="Miriam Mono CLM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Miriam Mono CLM">
    <w:panose1 w:val="02000503000000000000"/>
    <w:charset w:val="00"/>
    <w:family w:val="auto"/>
    <w:pitch w:val="default"/>
    <w:sig w:usb0="80000803" w:usb1="50002802" w:usb2="00000000" w:usb3="00000000" w:csb0="00000020" w:csb1="00000000"/>
  </w:font>
  <w:font w:name="Ecofont_Spranq_eco_Sans">
    <w:altName w:val="Malgun Gothic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ans-serif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  <w:r>
      <w:drawing>
        <wp:inline distT="0" distB="0" distL="0" distR="0">
          <wp:extent cx="6118860" cy="552450"/>
          <wp:effectExtent l="0" t="0" r="1905" b="1333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886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jc w:val="center"/>
    </w:pPr>
    <w:r>
      <w:drawing>
        <wp:inline distT="0" distB="0" distL="0" distR="0">
          <wp:extent cx="4695825" cy="76454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33218" cy="770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0"/>
    <w:multiLevelType w:val="singleLevel"/>
    <w:tmpl w:val="FFFFFF80"/>
    <w:lvl w:ilvl="0" w:tentative="0">
      <w:start w:val="1"/>
      <w:numFmt w:val="bullet"/>
      <w:pStyle w:val="2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1">
    <w:nsid w:val="1D5C100D"/>
    <w:multiLevelType w:val="multilevel"/>
    <w:tmpl w:val="1D5C100D"/>
    <w:lvl w:ilvl="0" w:tentative="0">
      <w:start w:val="1"/>
      <w:numFmt w:val="decimal"/>
      <w:pStyle w:val="88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entative="0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 w:tentative="0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 w:tentative="0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8C70088"/>
    <w:multiLevelType w:val="multilevel"/>
    <w:tmpl w:val="58C70088"/>
    <w:lvl w:ilvl="0" w:tentative="0">
      <w:start w:val="1"/>
      <w:numFmt w:val="decimal"/>
      <w:pStyle w:val="97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 w:tentative="0">
      <w:start w:val="1"/>
      <w:numFmt w:val="decimal"/>
      <w:pStyle w:val="96"/>
      <w:lvlText w:val="%1.%2."/>
      <w:lvlJc w:val="left"/>
      <w:pPr>
        <w:ind w:left="858" w:hanging="432"/>
      </w:pPr>
      <w:rPr>
        <w:b w:val="0"/>
        <w:strike w:val="0"/>
      </w:rPr>
    </w:lvl>
    <w:lvl w:ilvl="2" w:tentative="0">
      <w:start w:val="1"/>
      <w:numFmt w:val="decimal"/>
      <w:pStyle w:val="98"/>
      <w:lvlText w:val="%1.%2.%3."/>
      <w:lvlJc w:val="left"/>
      <w:pPr>
        <w:ind w:left="1224" w:hanging="504"/>
      </w:pPr>
      <w:rPr>
        <w:i w:val="0"/>
        <w:strike w:val="0"/>
      </w:rPr>
    </w:lvl>
    <w:lvl w:ilvl="3" w:tentative="0">
      <w:start w:val="1"/>
      <w:numFmt w:val="decimal"/>
      <w:pStyle w:val="99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100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hideGrammaticalErrors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7A4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3CA3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30A3"/>
    <w:rsid w:val="00156660"/>
    <w:rsid w:val="00162432"/>
    <w:rsid w:val="001649EF"/>
    <w:rsid w:val="00172C6F"/>
    <w:rsid w:val="001765D4"/>
    <w:rsid w:val="001849A1"/>
    <w:rsid w:val="00185A52"/>
    <w:rsid w:val="00193609"/>
    <w:rsid w:val="0019396C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0B34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56596"/>
    <w:rsid w:val="0026511A"/>
    <w:rsid w:val="002672D4"/>
    <w:rsid w:val="00272108"/>
    <w:rsid w:val="002730AD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1FF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1963"/>
    <w:rsid w:val="002C30BD"/>
    <w:rsid w:val="002C45D6"/>
    <w:rsid w:val="002C6E48"/>
    <w:rsid w:val="002C723B"/>
    <w:rsid w:val="002D0341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62EFF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25A5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43FE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0865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0B3D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6AA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30C5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A8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0D2F"/>
    <w:rsid w:val="006A1129"/>
    <w:rsid w:val="006A5857"/>
    <w:rsid w:val="006A5CD8"/>
    <w:rsid w:val="006B0AF9"/>
    <w:rsid w:val="006B463E"/>
    <w:rsid w:val="006C2D32"/>
    <w:rsid w:val="006C59D2"/>
    <w:rsid w:val="006C651A"/>
    <w:rsid w:val="006C6538"/>
    <w:rsid w:val="006C7558"/>
    <w:rsid w:val="006C785D"/>
    <w:rsid w:val="006C7BD3"/>
    <w:rsid w:val="006D353F"/>
    <w:rsid w:val="006E18AC"/>
    <w:rsid w:val="006E192C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250A"/>
    <w:rsid w:val="00745E7C"/>
    <w:rsid w:val="00746ECC"/>
    <w:rsid w:val="00747360"/>
    <w:rsid w:val="00750064"/>
    <w:rsid w:val="0075057F"/>
    <w:rsid w:val="0075303B"/>
    <w:rsid w:val="00764E9B"/>
    <w:rsid w:val="00765974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0B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BA1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4DB5"/>
    <w:rsid w:val="0081593C"/>
    <w:rsid w:val="00816B72"/>
    <w:rsid w:val="008176F7"/>
    <w:rsid w:val="00825C45"/>
    <w:rsid w:val="00832BAF"/>
    <w:rsid w:val="00834337"/>
    <w:rsid w:val="0083463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395D"/>
    <w:rsid w:val="00864C59"/>
    <w:rsid w:val="00864F0A"/>
    <w:rsid w:val="00870530"/>
    <w:rsid w:val="00872CCB"/>
    <w:rsid w:val="00872FF5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579"/>
    <w:rsid w:val="008B0F87"/>
    <w:rsid w:val="008B2B5F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4375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2A3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1880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4ADE"/>
    <w:rsid w:val="00A57E0C"/>
    <w:rsid w:val="00A620EA"/>
    <w:rsid w:val="00A62E6B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B6B0D"/>
    <w:rsid w:val="00AC32DB"/>
    <w:rsid w:val="00AC444F"/>
    <w:rsid w:val="00AC4FE4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2E6A"/>
    <w:rsid w:val="00AF51E7"/>
    <w:rsid w:val="00B01CFB"/>
    <w:rsid w:val="00B11B98"/>
    <w:rsid w:val="00B130EC"/>
    <w:rsid w:val="00B134CC"/>
    <w:rsid w:val="00B17D7D"/>
    <w:rsid w:val="00B17EB7"/>
    <w:rsid w:val="00B243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E52"/>
    <w:rsid w:val="00B833CC"/>
    <w:rsid w:val="00B8455D"/>
    <w:rsid w:val="00B84F1F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0B9F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13BA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5A7"/>
    <w:rsid w:val="00CB7A73"/>
    <w:rsid w:val="00CC19DA"/>
    <w:rsid w:val="00CC2131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13C13"/>
    <w:rsid w:val="00D22FA9"/>
    <w:rsid w:val="00D24B92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4828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22FB8"/>
    <w:rsid w:val="00E3177E"/>
    <w:rsid w:val="00E32441"/>
    <w:rsid w:val="00E352DD"/>
    <w:rsid w:val="00E353AB"/>
    <w:rsid w:val="00E378E7"/>
    <w:rsid w:val="00E37A0B"/>
    <w:rsid w:val="00E4294D"/>
    <w:rsid w:val="00E43B34"/>
    <w:rsid w:val="00E4512F"/>
    <w:rsid w:val="00E50184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345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C7EE1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2D6D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B5262"/>
    <w:rsid w:val="00FC352E"/>
    <w:rsid w:val="00FC4C7A"/>
    <w:rsid w:val="00FD0FBA"/>
    <w:rsid w:val="00FD0FE3"/>
    <w:rsid w:val="00FD178D"/>
    <w:rsid w:val="00FD73D9"/>
    <w:rsid w:val="00FE112B"/>
    <w:rsid w:val="00FE2D14"/>
    <w:rsid w:val="00FE3362"/>
    <w:rsid w:val="00FE39ED"/>
    <w:rsid w:val="00FE61BE"/>
    <w:rsid w:val="00FE6EAB"/>
    <w:rsid w:val="00FF2C23"/>
    <w:rsid w:val="29C70A42"/>
    <w:rsid w:val="3EA13BC2"/>
    <w:rsid w:val="564E7119"/>
    <w:rsid w:val="61AD606A"/>
    <w:rsid w:val="6A1A7FEC"/>
    <w:rsid w:val="798F1441"/>
    <w:rsid w:val="7D4F35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semiHidden="0" w:name="heading 5"/>
    <w:lsdException w:qFormat="1" w:uiPriority="0" w:semiHidden="0" w:name="heading 6"/>
    <w:lsdException w:qFormat="1" w:uiPriority="9" w:name="heading 7"/>
    <w:lsdException w:qFormat="1" w:uiPriority="0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qFormat="1"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iPriority="0" w:semiHidden="0" w:name="Body Text 3"/>
    <w:lsdException w:qFormat="1" w:unhideWhenUsed="0" w:uiPriority="99" w:semiHidden="0" w:name="Body Text Indent 2"/>
    <w:lsdException w:qFormat="1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1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BR" w:eastAsia="pt-BR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ind w:left="2832" w:firstLine="708"/>
      <w:jc w:val="center"/>
      <w:outlineLvl w:val="0"/>
    </w:pPr>
    <w:rPr>
      <w:sz w:val="24"/>
    </w:rPr>
  </w:style>
  <w:style w:type="paragraph" w:styleId="3">
    <w:name w:val="heading 2"/>
    <w:basedOn w:val="1"/>
    <w:next w:val="1"/>
    <w:link w:val="35"/>
    <w:qFormat/>
    <w:uiPriority w:val="0"/>
    <w:pPr>
      <w:keepNext/>
      <w:jc w:val="center"/>
      <w:outlineLvl w:val="1"/>
    </w:pPr>
    <w:rPr>
      <w:sz w:val="24"/>
    </w:rPr>
  </w:style>
  <w:style w:type="paragraph" w:styleId="4">
    <w:name w:val="heading 3"/>
    <w:basedOn w:val="1"/>
    <w:next w:val="1"/>
    <w:link w:val="36"/>
    <w:qFormat/>
    <w:uiPriority w:val="0"/>
    <w:pPr>
      <w:keepNext/>
      <w:jc w:val="both"/>
      <w:outlineLvl w:val="2"/>
    </w:pPr>
    <w:rPr>
      <w:b/>
      <w:sz w:val="24"/>
      <w:u w:val="single"/>
    </w:rPr>
  </w:style>
  <w:style w:type="paragraph" w:styleId="5">
    <w:name w:val="heading 4"/>
    <w:basedOn w:val="1"/>
    <w:next w:val="1"/>
    <w:link w:val="37"/>
    <w:qFormat/>
    <w:uiPriority w:val="99"/>
    <w:pPr>
      <w:keepNext/>
      <w:jc w:val="both"/>
      <w:outlineLvl w:val="3"/>
    </w:pPr>
    <w:rPr>
      <w:rFonts w:eastAsia="Arial Unicode MS"/>
      <w:sz w:val="28"/>
    </w:rPr>
  </w:style>
  <w:style w:type="paragraph" w:styleId="6">
    <w:name w:val="heading 5"/>
    <w:basedOn w:val="1"/>
    <w:next w:val="1"/>
    <w:link w:val="38"/>
    <w:unhideWhenUsed/>
    <w:qFormat/>
    <w:uiPriority w:val="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39"/>
    <w:unhideWhenUsed/>
    <w:qFormat/>
    <w:uiPriority w:val="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1"/>
    <w:next w:val="1"/>
    <w:link w:val="40"/>
    <w:unhideWhenUsed/>
    <w:qFormat/>
    <w:uiPriority w:val="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1"/>
    <w:next w:val="1"/>
    <w:link w:val="41"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0"/>
    <w:qFormat/>
    <w:uiPriority w:val="22"/>
    <w:rPr>
      <w:b/>
      <w:bCs/>
    </w:rPr>
  </w:style>
  <w:style w:type="character" w:styleId="13">
    <w:name w:val="annotation reference"/>
    <w:basedOn w:val="10"/>
    <w:semiHidden/>
    <w:unhideWhenUsed/>
    <w:qFormat/>
    <w:uiPriority w:val="0"/>
    <w:rPr>
      <w:sz w:val="18"/>
      <w:szCs w:val="18"/>
    </w:rPr>
  </w:style>
  <w:style w:type="character" w:styleId="14">
    <w:name w:val="Emphasis"/>
    <w:basedOn w:val="10"/>
    <w:qFormat/>
    <w:uiPriority w:val="20"/>
    <w:rPr>
      <w:i/>
      <w:iCs/>
    </w:rPr>
  </w:style>
  <w:style w:type="character" w:styleId="15">
    <w:name w:val="footnote reference"/>
    <w:basedOn w:val="10"/>
    <w:semiHidden/>
    <w:unhideWhenUsed/>
    <w:qFormat/>
    <w:uiPriority w:val="99"/>
    <w:rPr>
      <w:vertAlign w:val="superscript"/>
    </w:rPr>
  </w:style>
  <w:style w:type="character" w:styleId="16">
    <w:name w:val="Hyperlink"/>
    <w:basedOn w:val="10"/>
    <w:qFormat/>
    <w:uiPriority w:val="0"/>
    <w:rPr>
      <w:rFonts w:cs="Times New Roman"/>
      <w:color w:val="0000FF"/>
      <w:u w:val="single"/>
    </w:rPr>
  </w:style>
  <w:style w:type="character" w:styleId="17">
    <w:name w:val="page number"/>
    <w:basedOn w:val="10"/>
    <w:qFormat/>
    <w:uiPriority w:val="0"/>
  </w:style>
  <w:style w:type="paragraph" w:styleId="18">
    <w:name w:val="Body Text"/>
    <w:basedOn w:val="1"/>
    <w:link w:val="46"/>
    <w:qFormat/>
    <w:uiPriority w:val="0"/>
    <w:pPr>
      <w:spacing w:after="120"/>
    </w:pPr>
  </w:style>
  <w:style w:type="paragraph" w:styleId="19">
    <w:name w:val="annotation text"/>
    <w:basedOn w:val="1"/>
    <w:link w:val="90"/>
    <w:unhideWhenUsed/>
    <w:qFormat/>
    <w:uiPriority w:val="0"/>
    <w:rPr>
      <w:rFonts w:ascii="Arial" w:hAnsi="Arial" w:cs="Tahoma"/>
      <w:sz w:val="24"/>
      <w:szCs w:val="24"/>
    </w:rPr>
  </w:style>
  <w:style w:type="paragraph" w:styleId="20">
    <w:name w:val="Body Text Indent 2"/>
    <w:basedOn w:val="1"/>
    <w:link w:val="44"/>
    <w:qFormat/>
    <w:uiPriority w:val="99"/>
    <w:pPr>
      <w:ind w:firstLine="708"/>
    </w:pPr>
    <w:rPr>
      <w:sz w:val="24"/>
    </w:rPr>
  </w:style>
  <w:style w:type="paragraph" w:styleId="21">
    <w:name w:val="Title"/>
    <w:basedOn w:val="1"/>
    <w:link w:val="54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22">
    <w:name w:val="List Bullet 5"/>
    <w:basedOn w:val="1"/>
    <w:qFormat/>
    <w:uiPriority w:val="0"/>
    <w:pPr>
      <w:numPr>
        <w:ilvl w:val="0"/>
        <w:numId w:val="1"/>
      </w:numPr>
      <w:contextualSpacing/>
    </w:pPr>
    <w:rPr>
      <w:rFonts w:ascii="Arial" w:hAnsi="Arial" w:cs="Tahoma"/>
      <w:szCs w:val="24"/>
    </w:rPr>
  </w:style>
  <w:style w:type="paragraph" w:styleId="23">
    <w:name w:val="Normal (Web)"/>
    <w:basedOn w:val="1"/>
    <w:qFormat/>
    <w:uiPriority w:val="99"/>
    <w:pPr>
      <w:suppressAutoHyphens/>
      <w:spacing w:before="280" w:after="280"/>
    </w:pPr>
    <w:rPr>
      <w:sz w:val="24"/>
      <w:szCs w:val="24"/>
      <w:lang w:eastAsia="zh-CN"/>
    </w:rPr>
  </w:style>
  <w:style w:type="paragraph" w:styleId="24">
    <w:name w:val="Body Text 3"/>
    <w:basedOn w:val="1"/>
    <w:link w:val="64"/>
    <w:unhideWhenUsed/>
    <w:qFormat/>
    <w:uiPriority w:val="0"/>
    <w:pPr>
      <w:spacing w:after="120"/>
    </w:pPr>
    <w:rPr>
      <w:sz w:val="16"/>
      <w:szCs w:val="16"/>
    </w:rPr>
  </w:style>
  <w:style w:type="paragraph" w:styleId="25">
    <w:name w:val="Body Text 2"/>
    <w:basedOn w:val="1"/>
    <w:link w:val="53"/>
    <w:qFormat/>
    <w:uiPriority w:val="0"/>
    <w:pPr>
      <w:spacing w:after="120" w:line="480" w:lineRule="auto"/>
    </w:pPr>
  </w:style>
  <w:style w:type="paragraph" w:styleId="26">
    <w:name w:val="header"/>
    <w:basedOn w:val="1"/>
    <w:link w:val="42"/>
    <w:qFormat/>
    <w:uiPriority w:val="99"/>
    <w:pPr>
      <w:tabs>
        <w:tab w:val="center" w:pos="4419"/>
        <w:tab w:val="right" w:pos="8838"/>
      </w:tabs>
    </w:pPr>
  </w:style>
  <w:style w:type="paragraph" w:styleId="27">
    <w:name w:val="annotation subject"/>
    <w:basedOn w:val="19"/>
    <w:next w:val="19"/>
    <w:link w:val="91"/>
    <w:semiHidden/>
    <w:unhideWhenUsed/>
    <w:qFormat/>
    <w:uiPriority w:val="0"/>
    <w:rPr>
      <w:b/>
      <w:bCs/>
      <w:sz w:val="20"/>
      <w:szCs w:val="20"/>
    </w:rPr>
  </w:style>
  <w:style w:type="paragraph" w:styleId="28">
    <w:name w:val="footer"/>
    <w:basedOn w:val="1"/>
    <w:link w:val="43"/>
    <w:qFormat/>
    <w:uiPriority w:val="99"/>
    <w:pPr>
      <w:tabs>
        <w:tab w:val="center" w:pos="4419"/>
        <w:tab w:val="right" w:pos="8838"/>
      </w:tabs>
    </w:pPr>
  </w:style>
  <w:style w:type="paragraph" w:styleId="29">
    <w:name w:val="Body Text Indent 3"/>
    <w:basedOn w:val="1"/>
    <w:link w:val="65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30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1">
    <w:name w:val="footnote text"/>
    <w:basedOn w:val="1"/>
    <w:link w:val="73"/>
    <w:semiHidden/>
    <w:unhideWhenUsed/>
    <w:qFormat/>
    <w:uiPriority w:val="99"/>
    <w:rPr>
      <w:rFonts w:eastAsia="Calibri"/>
    </w:rPr>
  </w:style>
  <w:style w:type="paragraph" w:styleId="32">
    <w:name w:val="Body Text Indent"/>
    <w:basedOn w:val="1"/>
    <w:link w:val="50"/>
    <w:qFormat/>
    <w:uiPriority w:val="99"/>
    <w:pPr>
      <w:spacing w:after="120"/>
      <w:ind w:left="283"/>
    </w:pPr>
  </w:style>
  <w:style w:type="table" w:styleId="33">
    <w:name w:val="Table Grid"/>
    <w:basedOn w:val="1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">
    <w:name w:val="Título 1 Char"/>
    <w:basedOn w:val="10"/>
    <w:link w:val="2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35">
    <w:name w:val="Título 2 Char"/>
    <w:basedOn w:val="10"/>
    <w:link w:val="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36">
    <w:name w:val="Título 3 Char"/>
    <w:basedOn w:val="10"/>
    <w:link w:val="4"/>
    <w:qFormat/>
    <w:uiPriority w:val="0"/>
    <w:rPr>
      <w:rFonts w:ascii="Times New Roman" w:hAnsi="Times New Roman" w:eastAsia="Times New Roman" w:cs="Times New Roman"/>
      <w:b/>
      <w:sz w:val="24"/>
      <w:szCs w:val="20"/>
      <w:u w:val="single"/>
      <w:lang w:eastAsia="pt-BR"/>
    </w:rPr>
  </w:style>
  <w:style w:type="character" w:customStyle="1" w:styleId="37">
    <w:name w:val="Título 4 Char"/>
    <w:basedOn w:val="10"/>
    <w:link w:val="5"/>
    <w:qFormat/>
    <w:uiPriority w:val="99"/>
    <w:rPr>
      <w:rFonts w:ascii="Times New Roman" w:hAnsi="Times New Roman" w:eastAsia="Arial Unicode MS" w:cs="Times New Roman"/>
      <w:sz w:val="28"/>
      <w:szCs w:val="20"/>
      <w:lang w:eastAsia="pt-BR"/>
    </w:rPr>
  </w:style>
  <w:style w:type="character" w:customStyle="1" w:styleId="38">
    <w:name w:val="Título 5 Char"/>
    <w:basedOn w:val="10"/>
    <w:link w:val="6"/>
    <w:qFormat/>
    <w:uiPriority w:val="0"/>
    <w:rPr>
      <w:rFonts w:ascii="Calibri" w:hAnsi="Calibri" w:eastAsia="Times New Roman" w:cs="Times New Roman"/>
      <w:b/>
      <w:bCs/>
      <w:i/>
      <w:iCs/>
      <w:sz w:val="26"/>
      <w:szCs w:val="26"/>
      <w:lang w:eastAsia="pt-BR"/>
    </w:rPr>
  </w:style>
  <w:style w:type="character" w:customStyle="1" w:styleId="39">
    <w:name w:val="Título 6 Char"/>
    <w:basedOn w:val="10"/>
    <w:link w:val="7"/>
    <w:qFormat/>
    <w:uiPriority w:val="0"/>
    <w:rPr>
      <w:rFonts w:ascii="Calibri" w:hAnsi="Calibri" w:eastAsia="Times New Roman" w:cs="Times New Roman"/>
      <w:b/>
      <w:bCs/>
      <w:lang w:eastAsia="pt-BR"/>
    </w:rPr>
  </w:style>
  <w:style w:type="character" w:customStyle="1" w:styleId="40">
    <w:name w:val="Título 8 Char"/>
    <w:basedOn w:val="10"/>
    <w:link w:val="8"/>
    <w:qFormat/>
    <w:uiPriority w:val="0"/>
    <w:rPr>
      <w:rFonts w:ascii="Calibri" w:hAnsi="Calibri" w:eastAsia="Times New Roman" w:cs="Times New Roman"/>
      <w:i/>
      <w:iCs/>
      <w:sz w:val="24"/>
      <w:szCs w:val="24"/>
      <w:lang w:eastAsia="pt-BR"/>
    </w:rPr>
  </w:style>
  <w:style w:type="character" w:customStyle="1" w:styleId="41">
    <w:name w:val="Título 9 Char"/>
    <w:basedOn w:val="10"/>
    <w:link w:val="9"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  <w:lang w:eastAsia="pt-BR"/>
    </w:rPr>
  </w:style>
  <w:style w:type="character" w:customStyle="1" w:styleId="42">
    <w:name w:val="Cabeçalho Char"/>
    <w:basedOn w:val="10"/>
    <w:link w:val="26"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43">
    <w:name w:val="Rodapé Char"/>
    <w:basedOn w:val="10"/>
    <w:link w:val="28"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44">
    <w:name w:val="Recuo de corpo de texto 2 Char"/>
    <w:basedOn w:val="10"/>
    <w:link w:val="20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45">
    <w:name w:val="List Paragraph"/>
    <w:basedOn w:val="1"/>
    <w:qFormat/>
    <w:uiPriority w:val="1"/>
    <w:pPr>
      <w:ind w:left="708"/>
    </w:pPr>
  </w:style>
  <w:style w:type="character" w:customStyle="1" w:styleId="46">
    <w:name w:val="Corpo de texto Char"/>
    <w:basedOn w:val="10"/>
    <w:link w:val="18"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customStyle="1" w:styleId="47">
    <w:name w:val="Estilo1"/>
    <w:basedOn w:val="1"/>
    <w:qFormat/>
    <w:uiPriority w:val="99"/>
    <w:rPr>
      <w:sz w:val="24"/>
    </w:rPr>
  </w:style>
  <w:style w:type="paragraph" w:customStyle="1" w:styleId="48">
    <w:name w:val="Corpo de texto 21"/>
    <w:basedOn w:val="1"/>
    <w:qFormat/>
    <w:uiPriority w:val="99"/>
    <w:pPr>
      <w:widowControl w:val="0"/>
      <w:ind w:firstLine="1560"/>
      <w:jc w:val="both"/>
    </w:pPr>
    <w:rPr>
      <w:sz w:val="24"/>
    </w:rPr>
  </w:style>
  <w:style w:type="paragraph" w:styleId="49">
    <w:name w:val="No Spacing"/>
    <w:qFormat/>
    <w:uiPriority w:val="99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en-US" w:bidi="ar-SA"/>
    </w:rPr>
  </w:style>
  <w:style w:type="character" w:customStyle="1" w:styleId="50">
    <w:name w:val="Recuo de corpo de texto Char"/>
    <w:basedOn w:val="10"/>
    <w:link w:val="32"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customStyle="1" w:styleId="51">
    <w:name w:val="Corpo de texto 23"/>
    <w:basedOn w:val="1"/>
    <w:qFormat/>
    <w:uiPriority w:val="0"/>
    <w:pPr>
      <w:widowControl w:val="0"/>
      <w:ind w:firstLine="1560"/>
      <w:jc w:val="both"/>
    </w:pPr>
    <w:rPr>
      <w:sz w:val="24"/>
    </w:rPr>
  </w:style>
  <w:style w:type="paragraph" w:customStyle="1" w:styleId="52">
    <w:name w:val="Corpo de texto 22"/>
    <w:basedOn w:val="1"/>
    <w:qFormat/>
    <w:uiPriority w:val="0"/>
    <w:pPr>
      <w:widowControl w:val="0"/>
      <w:ind w:firstLine="1560"/>
      <w:jc w:val="both"/>
    </w:pPr>
    <w:rPr>
      <w:sz w:val="24"/>
    </w:rPr>
  </w:style>
  <w:style w:type="character" w:customStyle="1" w:styleId="53">
    <w:name w:val="Corpo de texto 2 Char"/>
    <w:basedOn w:val="10"/>
    <w:link w:val="25"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54">
    <w:name w:val="Título Char"/>
    <w:basedOn w:val="10"/>
    <w:link w:val="21"/>
    <w:qFormat/>
    <w:uiPriority w:val="0"/>
    <w:rPr>
      <w:rFonts w:ascii="Arial" w:hAnsi="Arial" w:eastAsia="Times New Roman" w:cs="Arial"/>
      <w:b/>
      <w:bCs/>
      <w:kern w:val="28"/>
      <w:sz w:val="32"/>
      <w:szCs w:val="32"/>
      <w:lang w:eastAsia="pt-BR"/>
    </w:rPr>
  </w:style>
  <w:style w:type="paragraph" w:customStyle="1" w:styleId="55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pt-BR" w:eastAsia="pt-BR" w:bidi="ar-SA"/>
    </w:rPr>
  </w:style>
  <w:style w:type="character" w:customStyle="1" w:styleId="56">
    <w:name w:val="Texto de balão Char"/>
    <w:basedOn w:val="10"/>
    <w:link w:val="30"/>
    <w:qFormat/>
    <w:uiPriority w:val="0"/>
    <w:rPr>
      <w:rFonts w:ascii="Tahoma" w:hAnsi="Tahoma" w:eastAsia="Times New Roman" w:cs="Tahoma"/>
      <w:sz w:val="16"/>
      <w:szCs w:val="16"/>
      <w:lang w:eastAsia="pt-BR"/>
    </w:rPr>
  </w:style>
  <w:style w:type="paragraph" w:customStyle="1" w:styleId="57">
    <w:name w:val="Body Text 23"/>
    <w:basedOn w:val="1"/>
    <w:qFormat/>
    <w:uiPriority w:val="0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58">
    <w:name w:val="Corpo de texto 24"/>
    <w:basedOn w:val="1"/>
    <w:qFormat/>
    <w:uiPriority w:val="0"/>
    <w:pPr>
      <w:widowControl w:val="0"/>
      <w:ind w:firstLine="1560"/>
      <w:jc w:val="both"/>
    </w:pPr>
    <w:rPr>
      <w:sz w:val="24"/>
    </w:rPr>
  </w:style>
  <w:style w:type="paragraph" w:customStyle="1" w:styleId="59">
    <w:name w:val="Título1"/>
    <w:basedOn w:val="1"/>
    <w:next w:val="18"/>
    <w:qFormat/>
    <w:uiPriority w:val="0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60">
    <w:name w:val="Corpo de texto 25"/>
    <w:basedOn w:val="1"/>
    <w:qFormat/>
    <w:uiPriority w:val="0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61">
    <w:name w:val="c7"/>
    <w:basedOn w:val="1"/>
    <w:qFormat/>
    <w:uiPriority w:val="0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62">
    <w:name w:val="Recuo de corpo de texto 31"/>
    <w:basedOn w:val="1"/>
    <w:qFormat/>
    <w:uiPriority w:val="0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63">
    <w:name w:val="Recuo de corpo de texto 21"/>
    <w:basedOn w:val="1"/>
    <w:qFormat/>
    <w:uiPriority w:val="0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character" w:customStyle="1" w:styleId="64">
    <w:name w:val="Corpo de texto 3 Char"/>
    <w:basedOn w:val="10"/>
    <w:link w:val="24"/>
    <w:qFormat/>
    <w:uiPriority w:val="0"/>
    <w:rPr>
      <w:rFonts w:ascii="Times New Roman" w:hAnsi="Times New Roman" w:eastAsia="Times New Roman" w:cs="Times New Roman"/>
      <w:sz w:val="16"/>
      <w:szCs w:val="16"/>
      <w:lang w:eastAsia="pt-BR"/>
    </w:rPr>
  </w:style>
  <w:style w:type="character" w:customStyle="1" w:styleId="65">
    <w:name w:val="Recuo de corpo de texto 3 Char"/>
    <w:basedOn w:val="10"/>
    <w:link w:val="29"/>
    <w:qFormat/>
    <w:uiPriority w:val="0"/>
    <w:rPr>
      <w:rFonts w:ascii="Times New Roman" w:hAnsi="Times New Roman" w:eastAsia="Times New Roman" w:cs="Times New Roman"/>
      <w:sz w:val="16"/>
      <w:szCs w:val="16"/>
      <w:lang w:eastAsia="pt-BR"/>
    </w:rPr>
  </w:style>
  <w:style w:type="character" w:customStyle="1" w:styleId="66">
    <w:name w:val="Char Char1"/>
    <w:basedOn w:val="10"/>
    <w:qFormat/>
    <w:uiPriority w:val="0"/>
    <w:rPr>
      <w:rFonts w:ascii="Arial" w:hAnsi="Arial"/>
      <w:b/>
      <w:sz w:val="24"/>
      <w:lang w:val="pt-BR" w:eastAsia="pt-BR" w:bidi="ar-SA"/>
    </w:rPr>
  </w:style>
  <w:style w:type="paragraph" w:customStyle="1" w:styleId="67">
    <w:name w:val="Parágrafo da Lista1"/>
    <w:basedOn w:val="1"/>
    <w:qFormat/>
    <w:uiPriority w:val="0"/>
    <w:pPr>
      <w:ind w:left="708"/>
    </w:pPr>
    <w:rPr>
      <w:rFonts w:eastAsia="Calibri"/>
    </w:rPr>
  </w:style>
  <w:style w:type="paragraph" w:customStyle="1" w:styleId="68">
    <w:name w:val="Sem Espaçamento1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pt-BR" w:eastAsia="en-US" w:bidi="ar-SA"/>
    </w:rPr>
  </w:style>
  <w:style w:type="paragraph" w:customStyle="1" w:styleId="69">
    <w:name w:val="04partenormativa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apple-converted-space"/>
    <w:basedOn w:val="10"/>
    <w:qFormat/>
    <w:uiPriority w:val="0"/>
  </w:style>
  <w:style w:type="character" w:customStyle="1" w:styleId="71">
    <w:name w:val="il"/>
    <w:basedOn w:val="10"/>
    <w:qFormat/>
    <w:uiPriority w:val="0"/>
  </w:style>
  <w:style w:type="paragraph" w:customStyle="1" w:styleId="72">
    <w:name w:val="Table Paragraph"/>
    <w:basedOn w:val="1"/>
    <w:qFormat/>
    <w:uiPriority w:val="0"/>
    <w:pPr>
      <w:widowControl w:val="0"/>
      <w:spacing w:before="42"/>
      <w:jc w:val="right"/>
    </w:pPr>
    <w:rPr>
      <w:rFonts w:ascii="Arial" w:hAnsi="Arial" w:eastAsia="Arial" w:cs="Arial"/>
      <w:sz w:val="22"/>
      <w:szCs w:val="22"/>
      <w:lang w:val="en-US" w:eastAsia="en-US"/>
    </w:rPr>
  </w:style>
  <w:style w:type="character" w:customStyle="1" w:styleId="73">
    <w:name w:val="Texto de nota de rodapé Char"/>
    <w:basedOn w:val="10"/>
    <w:link w:val="31"/>
    <w:semiHidden/>
    <w:qFormat/>
    <w:uiPriority w:val="99"/>
    <w:rPr>
      <w:rFonts w:ascii="Times New Roman" w:hAnsi="Times New Roman" w:eastAsia="Calibri" w:cs="Times New Roman"/>
      <w:sz w:val="20"/>
      <w:szCs w:val="20"/>
      <w:lang w:eastAsia="pt-BR"/>
    </w:rPr>
  </w:style>
  <w:style w:type="table" w:customStyle="1" w:styleId="74">
    <w:name w:val="Table Normal"/>
    <w:semiHidden/>
    <w:unhideWhenUsed/>
    <w:qFormat/>
    <w:uiPriority w:val="2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5">
    <w:name w:val="Standard"/>
    <w:qFormat/>
    <w:uiPriority w:val="0"/>
    <w:pPr>
      <w:widowControl w:val="0"/>
      <w:suppressAutoHyphens/>
      <w:autoSpaceDN w:val="0"/>
      <w:spacing w:after="0" w:line="240" w:lineRule="auto"/>
    </w:pPr>
    <w:rPr>
      <w:rFonts w:ascii="Times New Roman" w:hAnsi="Times New Roman" w:eastAsia="Lucida Sans Unicode" w:cs="Mangal"/>
      <w:kern w:val="3"/>
      <w:sz w:val="24"/>
      <w:szCs w:val="24"/>
      <w:lang w:val="pt-BR" w:eastAsia="zh-CN" w:bidi="hi-IN"/>
    </w:rPr>
  </w:style>
  <w:style w:type="paragraph" w:customStyle="1" w:styleId="76">
    <w:name w:val="Parágrafo da Lista2"/>
    <w:basedOn w:val="1"/>
    <w:qFormat/>
    <w:uiPriority w:val="0"/>
    <w:pPr>
      <w:ind w:left="708"/>
    </w:pPr>
    <w:rPr>
      <w:rFonts w:eastAsia="Calibri"/>
    </w:rPr>
  </w:style>
  <w:style w:type="character" w:customStyle="1" w:styleId="77">
    <w:name w:val="Link da Internet"/>
    <w:qFormat/>
    <w:uiPriority w:val="0"/>
    <w:rPr>
      <w:color w:val="000080"/>
      <w:u w:val="single"/>
    </w:rPr>
  </w:style>
  <w:style w:type="paragraph" w:customStyle="1" w:styleId="78">
    <w:name w:val="Nivel 01"/>
    <w:basedOn w:val="1"/>
    <w:link w:val="92"/>
    <w:qFormat/>
    <w:uiPriority w:val="0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hAnsi="Ecofont_Spranq_eco_Sans" w:eastAsia="SimSun"/>
      <w:b/>
      <w:bCs/>
      <w:color w:val="000000"/>
    </w:rPr>
  </w:style>
  <w:style w:type="paragraph" w:customStyle="1" w:styleId="79">
    <w:name w:val="Nível 2"/>
    <w:basedOn w:val="1"/>
    <w:next w:val="1"/>
    <w:qFormat/>
    <w:uiPriority w:val="0"/>
    <w:pPr>
      <w:spacing w:after="120"/>
      <w:jc w:val="both"/>
    </w:pPr>
    <w:rPr>
      <w:rFonts w:ascii="Arial" w:hAnsi="Arial"/>
      <w:b/>
    </w:rPr>
  </w:style>
  <w:style w:type="character" w:customStyle="1" w:styleId="80">
    <w:name w:val="normal__char1"/>
    <w:qFormat/>
    <w:uiPriority w:val="0"/>
    <w:rPr>
      <w:rFonts w:hint="default" w:ascii="Arial" w:hAnsi="Arial" w:cs="Arial"/>
      <w:sz w:val="24"/>
      <w:szCs w:val="24"/>
      <w:u w:val="none"/>
    </w:rPr>
  </w:style>
  <w:style w:type="character" w:customStyle="1" w:styleId="81">
    <w:name w:val="apple-style-span"/>
    <w:basedOn w:val="10"/>
    <w:qFormat/>
    <w:uiPriority w:val="0"/>
  </w:style>
  <w:style w:type="paragraph" w:styleId="82">
    <w:name w:val="Quote"/>
    <w:basedOn w:val="1"/>
    <w:next w:val="1"/>
    <w:link w:val="83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Arial" w:hAnsi="Arial" w:eastAsia="Calibri" w:cs="Tahoma"/>
      <w:i/>
      <w:iCs/>
      <w:color w:val="000000"/>
      <w:szCs w:val="24"/>
      <w:lang w:eastAsia="en-US"/>
    </w:rPr>
  </w:style>
  <w:style w:type="character" w:customStyle="1" w:styleId="83">
    <w:name w:val="Citação Char"/>
    <w:basedOn w:val="10"/>
    <w:link w:val="82"/>
    <w:qFormat/>
    <w:uiPriority w:val="29"/>
    <w:rPr>
      <w:rFonts w:ascii="Arial" w:hAnsi="Arial" w:eastAsia="Calibri" w:cs="Tahoma"/>
      <w:i/>
      <w:iCs/>
      <w:color w:val="000000"/>
      <w:sz w:val="20"/>
      <w:szCs w:val="24"/>
      <w:shd w:val="clear" w:color="auto" w:fill="FFFFCC"/>
    </w:rPr>
  </w:style>
  <w:style w:type="paragraph" w:customStyle="1" w:styleId="84">
    <w:name w:val="citação 2"/>
    <w:basedOn w:val="82"/>
    <w:link w:val="85"/>
    <w:qFormat/>
    <w:uiPriority w:val="0"/>
    <w:rPr>
      <w:szCs w:val="20"/>
    </w:rPr>
  </w:style>
  <w:style w:type="character" w:customStyle="1" w:styleId="85">
    <w:name w:val="citação 2 Char"/>
    <w:basedOn w:val="83"/>
    <w:link w:val="84"/>
    <w:qFormat/>
    <w:uiPriority w:val="0"/>
    <w:rPr>
      <w:rFonts w:ascii="Arial" w:hAnsi="Arial" w:eastAsia="Calibri" w:cs="Tahoma"/>
      <w:color w:val="000000"/>
      <w:sz w:val="20"/>
      <w:szCs w:val="20"/>
      <w:shd w:val="clear" w:color="auto" w:fill="FFFFCC"/>
    </w:rPr>
  </w:style>
  <w:style w:type="paragraph" w:customStyle="1" w:styleId="86">
    <w:name w:val="Grade Colorida - Ênfase 11"/>
    <w:basedOn w:val="1"/>
    <w:next w:val="1"/>
    <w:link w:val="87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Arial" w:hAnsi="Arial" w:eastAsia="Calibri"/>
      <w:i/>
      <w:iCs/>
      <w:color w:val="000000"/>
      <w:szCs w:val="24"/>
      <w:lang w:eastAsia="en-US"/>
    </w:rPr>
  </w:style>
  <w:style w:type="character" w:customStyle="1" w:styleId="87">
    <w:name w:val="Grade Colorida - Ênfase 1 Char"/>
    <w:link w:val="86"/>
    <w:qFormat/>
    <w:uiPriority w:val="29"/>
    <w:rPr>
      <w:rFonts w:ascii="Arial" w:hAnsi="Arial" w:eastAsia="Calibri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88">
    <w:name w:val="Nivel1"/>
    <w:basedOn w:val="2"/>
    <w:next w:val="1"/>
    <w:link w:val="89"/>
    <w:qFormat/>
    <w:uiPriority w:val="0"/>
    <w:pPr>
      <w:keepLines/>
      <w:numPr>
        <w:ilvl w:val="0"/>
        <w:numId w:val="2"/>
      </w:numPr>
      <w:spacing w:before="480" w:after="120" w:line="276" w:lineRule="auto"/>
      <w:jc w:val="both"/>
    </w:pPr>
    <w:rPr>
      <w:rFonts w:ascii="Arial" w:hAnsi="Arial" w:cs="Arial" w:eastAsiaTheme="majorEastAsia"/>
      <w:b/>
      <w:color w:val="000000"/>
      <w:sz w:val="20"/>
    </w:rPr>
  </w:style>
  <w:style w:type="character" w:customStyle="1" w:styleId="89">
    <w:name w:val="Nivel1 Char"/>
    <w:basedOn w:val="34"/>
    <w:link w:val="88"/>
    <w:qFormat/>
    <w:uiPriority w:val="0"/>
    <w:rPr>
      <w:rFonts w:ascii="Arial" w:hAnsi="Arial" w:cs="Arial" w:eastAsiaTheme="majorEastAsia"/>
      <w:b/>
      <w:color w:val="000000"/>
      <w:sz w:val="20"/>
      <w:szCs w:val="20"/>
      <w:lang w:eastAsia="pt-BR"/>
    </w:rPr>
  </w:style>
  <w:style w:type="character" w:customStyle="1" w:styleId="90">
    <w:name w:val="Texto de comentário Char"/>
    <w:basedOn w:val="10"/>
    <w:link w:val="19"/>
    <w:qFormat/>
    <w:uiPriority w:val="0"/>
    <w:rPr>
      <w:rFonts w:ascii="Arial" w:hAnsi="Arial" w:eastAsia="Times New Roman" w:cs="Tahoma"/>
      <w:sz w:val="24"/>
      <w:szCs w:val="24"/>
      <w:lang w:eastAsia="pt-BR"/>
    </w:rPr>
  </w:style>
  <w:style w:type="character" w:customStyle="1" w:styleId="91">
    <w:name w:val="Assunto do comentário Char"/>
    <w:basedOn w:val="90"/>
    <w:link w:val="27"/>
    <w:semiHidden/>
    <w:qFormat/>
    <w:uiPriority w:val="0"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customStyle="1" w:styleId="92">
    <w:name w:val="Nivel 01 Char"/>
    <w:basedOn w:val="10"/>
    <w:link w:val="78"/>
    <w:qFormat/>
    <w:uiPriority w:val="0"/>
    <w:rPr>
      <w:rFonts w:ascii="Ecofont_Spranq_eco_Sans" w:hAnsi="Ecofont_Spranq_eco_Sans" w:eastAsia="SimSun" w:cs="Times New Roman"/>
      <w:b/>
      <w:bCs/>
      <w:color w:val="000000"/>
      <w:sz w:val="20"/>
      <w:szCs w:val="20"/>
      <w:lang w:eastAsia="pt-BR"/>
    </w:rPr>
  </w:style>
  <w:style w:type="paragraph" w:customStyle="1" w:styleId="93">
    <w:name w:val="Nivel_01"/>
    <w:basedOn w:val="2"/>
    <w:link w:val="94"/>
    <w:qFormat/>
    <w:uiPriority w:val="0"/>
    <w:pPr>
      <w:keepLines/>
      <w:tabs>
        <w:tab w:val="left" w:pos="567"/>
      </w:tabs>
      <w:spacing w:before="240"/>
      <w:ind w:left="0" w:firstLine="0"/>
      <w:jc w:val="both"/>
    </w:pPr>
    <w:rPr>
      <w:rFonts w:ascii="Ecofont_Spranq_eco_Sans" w:hAnsi="Ecofont_Spranq_eco_Sans" w:eastAsiaTheme="majorEastAsia"/>
      <w:b/>
      <w:bCs/>
      <w:sz w:val="20"/>
    </w:rPr>
  </w:style>
  <w:style w:type="character" w:customStyle="1" w:styleId="94">
    <w:name w:val="Nivel_01 Char"/>
    <w:basedOn w:val="34"/>
    <w:link w:val="93"/>
    <w:qFormat/>
    <w:uiPriority w:val="0"/>
    <w:rPr>
      <w:rFonts w:ascii="Ecofont_Spranq_eco_Sans" w:hAnsi="Ecofont_Spranq_eco_Sans" w:cs="Times New Roman" w:eastAsiaTheme="majorEastAsia"/>
      <w:b/>
      <w:bCs/>
      <w:sz w:val="20"/>
      <w:szCs w:val="20"/>
      <w:lang w:eastAsia="pt-BR"/>
    </w:rPr>
  </w:style>
  <w:style w:type="paragraph" w:customStyle="1" w:styleId="95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uppressAutoHyphens/>
      <w:spacing w:before="120"/>
      <w:jc w:val="both"/>
    </w:pPr>
    <w:rPr>
      <w:rFonts w:ascii="Ecofont_Spranq_eco_Sans" w:hAnsi="Ecofont_Spranq_eco_Sans" w:eastAsia="Calibri" w:cs="Tahoma"/>
      <w:i/>
      <w:iCs/>
      <w:color w:val="000000"/>
      <w:szCs w:val="24"/>
      <w:lang w:eastAsia="zh-CN"/>
    </w:rPr>
  </w:style>
  <w:style w:type="paragraph" w:customStyle="1" w:styleId="96">
    <w:name w:val="Nivel 2"/>
    <w:link w:val="101"/>
    <w:qFormat/>
    <w:uiPriority w:val="0"/>
    <w:pPr>
      <w:numPr>
        <w:ilvl w:val="1"/>
        <w:numId w:val="3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sz w:val="20"/>
      <w:szCs w:val="20"/>
      <w:lang w:val="pt-BR" w:eastAsia="pt-BR" w:bidi="ar-SA"/>
    </w:rPr>
  </w:style>
  <w:style w:type="paragraph" w:customStyle="1" w:styleId="97">
    <w:name w:val="Nivel 1"/>
    <w:basedOn w:val="96"/>
    <w:next w:val="96"/>
    <w:qFormat/>
    <w:uiPriority w:val="0"/>
    <w:pPr>
      <w:numPr>
        <w:ilvl w:val="0"/>
      </w:numPr>
      <w:tabs>
        <w:tab w:val="left" w:pos="360"/>
        <w:tab w:val="left" w:pos="390"/>
      </w:tabs>
      <w:ind w:left="644" w:hanging="432"/>
    </w:pPr>
    <w:rPr>
      <w:rFonts w:cs="Arial"/>
      <w:b/>
    </w:rPr>
  </w:style>
  <w:style w:type="paragraph" w:customStyle="1" w:styleId="98">
    <w:name w:val="Nivel 3"/>
    <w:basedOn w:val="96"/>
    <w:qFormat/>
    <w:uiPriority w:val="0"/>
    <w:pPr>
      <w:numPr>
        <w:ilvl w:val="2"/>
      </w:numPr>
      <w:tabs>
        <w:tab w:val="left" w:pos="360"/>
        <w:tab w:val="left" w:pos="720"/>
      </w:tabs>
      <w:ind w:left="1922" w:hanging="720"/>
    </w:pPr>
    <w:rPr>
      <w:rFonts w:cs="Arial"/>
      <w:color w:val="000000"/>
    </w:rPr>
  </w:style>
  <w:style w:type="paragraph" w:customStyle="1" w:styleId="99">
    <w:name w:val="Nivel 4"/>
    <w:basedOn w:val="98"/>
    <w:qFormat/>
    <w:uiPriority w:val="0"/>
    <w:pPr>
      <w:numPr>
        <w:ilvl w:val="3"/>
      </w:numPr>
      <w:tabs>
        <w:tab w:val="left" w:pos="1080"/>
      </w:tabs>
      <w:ind w:left="2491" w:hanging="1080"/>
    </w:pPr>
    <w:rPr>
      <w:color w:val="auto"/>
    </w:rPr>
  </w:style>
  <w:style w:type="paragraph" w:customStyle="1" w:styleId="100">
    <w:name w:val="Nivel 5"/>
    <w:basedOn w:val="99"/>
    <w:qFormat/>
    <w:uiPriority w:val="0"/>
    <w:pPr>
      <w:numPr>
        <w:ilvl w:val="4"/>
      </w:numPr>
      <w:ind w:left="3485" w:hanging="1080"/>
    </w:pPr>
  </w:style>
  <w:style w:type="character" w:customStyle="1" w:styleId="101">
    <w:name w:val="Nivel 2 Char"/>
    <w:basedOn w:val="10"/>
    <w:link w:val="96"/>
    <w:qFormat/>
    <w:uiPriority w:val="0"/>
    <w:rPr>
      <w:rFonts w:ascii="Ecofont_Spranq_eco_Sans" w:hAnsi="Ecofont_Spranq_eco_Sans" w:eastAsia="Arial Unicode MS" w:cs="Times New Roman"/>
      <w:sz w:val="20"/>
      <w:szCs w:val="20"/>
      <w:lang w:eastAsia="pt-BR"/>
    </w:rPr>
  </w:style>
  <w:style w:type="paragraph" w:customStyle="1" w:styleId="102">
    <w:name w:val="Citação1"/>
    <w:basedOn w:val="1"/>
    <w:next w:val="1"/>
    <w:link w:val="103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103">
    <w:name w:val="Quote Char"/>
    <w:link w:val="102"/>
    <w:qFormat/>
    <w:uiPriority w:val="0"/>
    <w:rPr>
      <w:rFonts w:ascii="Ecofont_Spranq_eco_Sans" w:hAnsi="Ecofont_Spranq_eco_Sans" w:eastAsia="Times New Roman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104">
    <w:name w:val="Menção Pendente1"/>
    <w:basedOn w:val="1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5">
    <w:name w:val="pb-0"/>
    <w:basedOn w:val="1"/>
    <w:qFormat/>
    <w:uiPriority w:val="0"/>
    <w:pPr>
      <w:spacing w:before="100" w:beforeAutospacing="1" w:after="100" w:afterAutospacing="1"/>
    </w:pPr>
    <w:rPr>
      <w:sz w:val="24"/>
      <w:szCs w:val="24"/>
    </w:rPr>
  </w:style>
  <w:style w:type="paragraph" w:customStyle="1" w:styleId="106">
    <w:name w:val="LO-normal"/>
    <w:qFormat/>
    <w:uiPriority w:val="0"/>
    <w:pPr>
      <w:widowControl/>
      <w:suppressAutoHyphens/>
      <w:bidi w:val="0"/>
      <w:spacing w:before="0" w:after="0"/>
      <w:jc w:val="left"/>
    </w:pPr>
    <w:rPr>
      <w:rFonts w:ascii="Ecofont_Spranq_eco_Sans" w:hAnsi="Ecofont_Spranq_eco_Sans" w:eastAsia="Ecofont_Spranq_eco_Sans" w:cs="Ecofont_Spranq_eco_Sans"/>
      <w:color w:val="auto"/>
      <w:kern w:val="0"/>
      <w:sz w:val="24"/>
      <w:szCs w:val="24"/>
      <w:lang w:val="pt-BR" w:eastAsia="zh-CN" w:bidi="hi-IN"/>
    </w:rPr>
  </w:style>
  <w:style w:type="character" w:customStyle="1" w:styleId="107">
    <w:name w:val="Ênfase Sutil1"/>
    <w:basedOn w:val="10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F373E-7B8B-4A14-9AB3-D55C92FE30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1688</Words>
  <Characters>10120</Characters>
  <Lines>53</Lines>
  <Paragraphs>15</Paragraphs>
  <TotalTime>1</TotalTime>
  <ScaleCrop>false</ScaleCrop>
  <LinksUpToDate>false</LinksUpToDate>
  <CharactersWithSpaces>11615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2014-03-06T18:06:00Z</dcterms:created>
  <dc:creator>Mayra</dc:creator>
  <cp:lastModifiedBy>Fádeo</cp:lastModifiedBy>
  <cp:lastPrinted>2021-11-10T17:34:00Z</cp:lastPrinted>
  <dcterms:modified xsi:type="dcterms:W3CDTF">2023-08-18T18:54:04Z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1046-11.2.0.11537</vt:lpwstr>
  </property>
  <property fmtid="{D5CDD505-2E9C-101B-9397-08002B2CF9AE}" pid="3" name="ICV">
    <vt:lpwstr>D2FA8419F10842D7AFA8476205113656</vt:lpwstr>
  </property>
</Properties>
</file>